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8583D" w14:textId="326DABBA" w:rsidR="00823DD0" w:rsidRDefault="00E233A8">
      <w:r>
        <w:t xml:space="preserve">Newlands </w:t>
      </w:r>
      <w:proofErr w:type="spellStart"/>
      <w:r>
        <w:t>Boxworth</w:t>
      </w:r>
      <w:proofErr w:type="spellEnd"/>
      <w:r>
        <w:t xml:space="preserve"> Gateway Traffic Movement Estimates</w:t>
      </w:r>
    </w:p>
    <w:p w14:paraId="2CAE06DC" w14:textId="77777777" w:rsidR="00033159" w:rsidRDefault="00033159"/>
    <w:p w14:paraId="2B49F293" w14:textId="77777777" w:rsidR="00033159" w:rsidRDefault="00033159"/>
    <w:p w14:paraId="4EEBC446" w14:textId="77777777" w:rsidR="009F7EB7" w:rsidRDefault="00000000">
      <w:pPr>
        <w:pStyle w:val="Heading1"/>
      </w:pPr>
      <w:r>
        <w:t>Transport Statement – Trip Generation Assessment</w:t>
      </w:r>
    </w:p>
    <w:p w14:paraId="45D58739" w14:textId="77777777" w:rsidR="009F7EB7" w:rsidRDefault="00000000">
      <w:pPr>
        <w:pStyle w:val="Heading2"/>
      </w:pPr>
      <w:r>
        <w:t>1. Introduction</w:t>
      </w:r>
    </w:p>
    <w:p w14:paraId="2BB16EB9" w14:textId="77777777" w:rsidR="009F7EB7" w:rsidRDefault="00000000">
      <w:r>
        <w:t>This document sets out the trip generation profile for a proposed 150,000 sqm B8 warehousing and distribution development. The site is assumed to comprise 50% parcel hub activity and 50% general pallet storage. Approximately 2,000 employees are expected to work on site across multiple shifts.</w:t>
      </w:r>
    </w:p>
    <w:p w14:paraId="50F180F4" w14:textId="77777777" w:rsidR="009F7EB7" w:rsidRDefault="00000000">
      <w:pPr>
        <w:pStyle w:val="Heading2"/>
      </w:pPr>
      <w:r>
        <w:t>2. Vehicle Trip Generation</w:t>
      </w:r>
    </w:p>
    <w:p w14:paraId="5BECF0FF" w14:textId="77777777" w:rsidR="009F7EB7" w:rsidRDefault="00000000">
      <w:r>
        <w:t>Based on standard TRICS trip rates and industry data, the following weekday vehicle movements are estimated:</w:t>
      </w:r>
    </w:p>
    <w:p w14:paraId="2BE6571B" w14:textId="77777777" w:rsidR="009F7EB7" w:rsidRDefault="00000000">
      <w:r>
        <w:t>• Heavy Goods Vehicles (HGVs): approximately 525 movements per weekday (263 arrivals, 263 departures)</w:t>
      </w:r>
    </w:p>
    <w:p w14:paraId="3EA872F0" w14:textId="77777777" w:rsidR="009F7EB7" w:rsidRDefault="00000000">
      <w:r>
        <w:t>• Light Goods Vehicles (LGVs/vans): approximately 1,275 movements per weekday (637 arrivals, 637 departures)</w:t>
      </w:r>
    </w:p>
    <w:p w14:paraId="5F4E29A4" w14:textId="77777777" w:rsidR="009F7EB7" w:rsidRDefault="00000000">
      <w:r>
        <w:t>• Cars (staff/visitors): approximately 2,540 movements per weekday (1,270 arrivals, 1,270 departures), assuming 70% staff attendance and an average vehicle occupancy of 1.1</w:t>
      </w:r>
    </w:p>
    <w:p w14:paraId="54A06B38" w14:textId="77777777" w:rsidR="009F7EB7" w:rsidRDefault="00000000">
      <w:r>
        <w:t>This equates to a total weekday vehicle movement of approximately 4,340.</w:t>
      </w:r>
    </w:p>
    <w:p w14:paraId="293E19BD" w14:textId="77777777" w:rsidR="009F7EB7" w:rsidRDefault="00000000">
      <w:pPr>
        <w:pStyle w:val="Heading2"/>
      </w:pPr>
      <w:r>
        <w:t>3. Weekly Vehicle Movements</w:t>
      </w:r>
    </w:p>
    <w:tbl>
      <w:tblPr>
        <w:tblW w:w="0" w:type="auto"/>
        <w:tblLook w:val="04A0" w:firstRow="1" w:lastRow="0" w:firstColumn="1" w:lastColumn="0" w:noHBand="0" w:noVBand="1"/>
      </w:tblPr>
      <w:tblGrid>
        <w:gridCol w:w="3008"/>
        <w:gridCol w:w="3009"/>
        <w:gridCol w:w="3009"/>
      </w:tblGrid>
      <w:tr w:rsidR="009F7EB7" w14:paraId="3E41583F" w14:textId="77777777">
        <w:tc>
          <w:tcPr>
            <w:tcW w:w="3009" w:type="dxa"/>
          </w:tcPr>
          <w:p w14:paraId="4E6E2BB2" w14:textId="77777777" w:rsidR="009F7EB7" w:rsidRDefault="00000000">
            <w:r>
              <w:t>Day</w:t>
            </w:r>
          </w:p>
        </w:tc>
        <w:tc>
          <w:tcPr>
            <w:tcW w:w="3009" w:type="dxa"/>
          </w:tcPr>
          <w:p w14:paraId="738F22CE" w14:textId="77777777" w:rsidR="009F7EB7" w:rsidRDefault="00000000">
            <w:r>
              <w:t>Vehicle Movements per Day</w:t>
            </w:r>
          </w:p>
        </w:tc>
        <w:tc>
          <w:tcPr>
            <w:tcW w:w="3009" w:type="dxa"/>
          </w:tcPr>
          <w:p w14:paraId="55371C31" w14:textId="77777777" w:rsidR="009F7EB7" w:rsidRDefault="00000000">
            <w:r>
              <w:t>Notes</w:t>
            </w:r>
          </w:p>
        </w:tc>
      </w:tr>
      <w:tr w:rsidR="009F7EB7" w14:paraId="49A50AE4" w14:textId="77777777">
        <w:tc>
          <w:tcPr>
            <w:tcW w:w="3009" w:type="dxa"/>
          </w:tcPr>
          <w:p w14:paraId="6BE3378F" w14:textId="77777777" w:rsidR="009F7EB7" w:rsidRDefault="00000000">
            <w:r>
              <w:t>Mon–Fri</w:t>
            </w:r>
          </w:p>
        </w:tc>
        <w:tc>
          <w:tcPr>
            <w:tcW w:w="3009" w:type="dxa"/>
          </w:tcPr>
          <w:p w14:paraId="06D75E84" w14:textId="77777777" w:rsidR="009F7EB7" w:rsidRDefault="00000000">
            <w:r>
              <w:t>4,340</w:t>
            </w:r>
          </w:p>
        </w:tc>
        <w:tc>
          <w:tcPr>
            <w:tcW w:w="3009" w:type="dxa"/>
          </w:tcPr>
          <w:p w14:paraId="0F51A148" w14:textId="77777777" w:rsidR="009F7EB7" w:rsidRDefault="00000000">
            <w:r>
              <w:t>standard operating weekday</w:t>
            </w:r>
          </w:p>
        </w:tc>
      </w:tr>
      <w:tr w:rsidR="009F7EB7" w14:paraId="1472AA08" w14:textId="77777777">
        <w:tc>
          <w:tcPr>
            <w:tcW w:w="3009" w:type="dxa"/>
          </w:tcPr>
          <w:p w14:paraId="5B9FAE75" w14:textId="77777777" w:rsidR="009F7EB7" w:rsidRDefault="00000000">
            <w:r>
              <w:t>Saturday</w:t>
            </w:r>
          </w:p>
        </w:tc>
        <w:tc>
          <w:tcPr>
            <w:tcW w:w="3009" w:type="dxa"/>
          </w:tcPr>
          <w:p w14:paraId="17F4B259" w14:textId="77777777" w:rsidR="009F7EB7" w:rsidRDefault="00000000">
            <w:r>
              <w:t>1,663</w:t>
            </w:r>
          </w:p>
        </w:tc>
        <w:tc>
          <w:tcPr>
            <w:tcW w:w="3009" w:type="dxa"/>
          </w:tcPr>
          <w:p w14:paraId="216AACC4" w14:textId="77777777" w:rsidR="009F7EB7" w:rsidRDefault="00000000">
            <w:r>
              <w:t>reduced staff and goods movements</w:t>
            </w:r>
          </w:p>
        </w:tc>
      </w:tr>
      <w:tr w:rsidR="009F7EB7" w14:paraId="5955DE6F" w14:textId="77777777">
        <w:tc>
          <w:tcPr>
            <w:tcW w:w="3009" w:type="dxa"/>
          </w:tcPr>
          <w:p w14:paraId="0DF1ABAF" w14:textId="77777777" w:rsidR="009F7EB7" w:rsidRDefault="00000000">
            <w:r>
              <w:t>Sunday</w:t>
            </w:r>
          </w:p>
        </w:tc>
        <w:tc>
          <w:tcPr>
            <w:tcW w:w="3009" w:type="dxa"/>
          </w:tcPr>
          <w:p w14:paraId="0B540396" w14:textId="77777777" w:rsidR="009F7EB7" w:rsidRDefault="00000000">
            <w:r>
              <w:t>614</w:t>
            </w:r>
          </w:p>
        </w:tc>
        <w:tc>
          <w:tcPr>
            <w:tcW w:w="3009" w:type="dxa"/>
          </w:tcPr>
          <w:p w14:paraId="311A4F02" w14:textId="77777777" w:rsidR="009F7EB7" w:rsidRDefault="00000000">
            <w:r>
              <w:t>skeleton/maintenance operations</w:t>
            </w:r>
          </w:p>
        </w:tc>
      </w:tr>
      <w:tr w:rsidR="009F7EB7" w14:paraId="5B6AF40F" w14:textId="77777777">
        <w:tc>
          <w:tcPr>
            <w:tcW w:w="3009" w:type="dxa"/>
          </w:tcPr>
          <w:p w14:paraId="4E4338F1" w14:textId="77777777" w:rsidR="009F7EB7" w:rsidRDefault="00000000">
            <w:r>
              <w:t>Total</w:t>
            </w:r>
          </w:p>
        </w:tc>
        <w:tc>
          <w:tcPr>
            <w:tcW w:w="3009" w:type="dxa"/>
          </w:tcPr>
          <w:p w14:paraId="03EC4F9E" w14:textId="77777777" w:rsidR="009F7EB7" w:rsidRDefault="00000000">
            <w:r>
              <w:t>23,637</w:t>
            </w:r>
          </w:p>
        </w:tc>
        <w:tc>
          <w:tcPr>
            <w:tcW w:w="3009" w:type="dxa"/>
          </w:tcPr>
          <w:p w14:paraId="1BB7209D" w14:textId="77777777" w:rsidR="009F7EB7" w:rsidRDefault="00000000">
            <w:r>
              <w:t>total across the seven-day period</w:t>
            </w:r>
          </w:p>
        </w:tc>
      </w:tr>
    </w:tbl>
    <w:p w14:paraId="3121D92A" w14:textId="77777777" w:rsidR="009F7EB7" w:rsidRDefault="00000000">
      <w:pPr>
        <w:pStyle w:val="Heading2"/>
      </w:pPr>
      <w:r>
        <w:lastRenderedPageBreak/>
        <w:t>4. Peak-Hour Analysis</w:t>
      </w:r>
    </w:p>
    <w:p w14:paraId="7A94E171" w14:textId="77777777" w:rsidR="009F7EB7" w:rsidRDefault="00000000">
      <w:r>
        <w:t>Peak-hour movements have been calculated as follows for a typical weekday:</w:t>
      </w:r>
    </w:p>
    <w:p w14:paraId="3C99AD4D" w14:textId="77777777" w:rsidR="009F7EB7" w:rsidRDefault="00000000">
      <w:r>
        <w:t>• Morning peak (07:00–09:00): approximately 622 vehicle movements per hour, with 380 staff vehicles, 190 LGVs, and 52 HGVs</w:t>
      </w:r>
    </w:p>
    <w:p w14:paraId="6E9A498C" w14:textId="77777777" w:rsidR="009F7EB7" w:rsidRDefault="00000000">
      <w:r>
        <w:t>• Evening peak (16:00–18:00): approximately 622 vehicle movements per hour, reflecting similar return patterns</w:t>
      </w:r>
    </w:p>
    <w:p w14:paraId="30047340" w14:textId="77777777" w:rsidR="009F7EB7" w:rsidRDefault="00000000">
      <w:pPr>
        <w:pStyle w:val="Heading2"/>
      </w:pPr>
      <w:r>
        <w:t>5. Daily Profile</w:t>
      </w:r>
    </w:p>
    <w:tbl>
      <w:tblPr>
        <w:tblW w:w="0" w:type="auto"/>
        <w:tblLook w:val="04A0" w:firstRow="1" w:lastRow="0" w:firstColumn="1" w:lastColumn="0" w:noHBand="0" w:noVBand="1"/>
      </w:tblPr>
      <w:tblGrid>
        <w:gridCol w:w="3008"/>
        <w:gridCol w:w="3009"/>
        <w:gridCol w:w="3009"/>
      </w:tblGrid>
      <w:tr w:rsidR="009F7EB7" w14:paraId="40176FAA" w14:textId="77777777">
        <w:tc>
          <w:tcPr>
            <w:tcW w:w="3009" w:type="dxa"/>
          </w:tcPr>
          <w:p w14:paraId="35C62D9A" w14:textId="77777777" w:rsidR="009F7EB7" w:rsidRDefault="00000000">
            <w:r>
              <w:t>Time Period</w:t>
            </w:r>
          </w:p>
        </w:tc>
        <w:tc>
          <w:tcPr>
            <w:tcW w:w="3009" w:type="dxa"/>
          </w:tcPr>
          <w:p w14:paraId="0ED02E23" w14:textId="77777777" w:rsidR="009F7EB7" w:rsidRDefault="00000000">
            <w:r>
              <w:t>% of Daily Traffic</w:t>
            </w:r>
          </w:p>
        </w:tc>
        <w:tc>
          <w:tcPr>
            <w:tcW w:w="3009" w:type="dxa"/>
          </w:tcPr>
          <w:p w14:paraId="6386A93D" w14:textId="77777777" w:rsidR="009F7EB7" w:rsidRDefault="00000000">
            <w:r>
              <w:t>Vehicles per Hour (All Modes)</w:t>
            </w:r>
          </w:p>
        </w:tc>
      </w:tr>
      <w:tr w:rsidR="009F7EB7" w14:paraId="1C6F4F10" w14:textId="77777777">
        <w:tc>
          <w:tcPr>
            <w:tcW w:w="3009" w:type="dxa"/>
          </w:tcPr>
          <w:p w14:paraId="5E2392D0" w14:textId="77777777" w:rsidR="009F7EB7" w:rsidRDefault="00000000">
            <w:r>
              <w:t>06:00–07:00</w:t>
            </w:r>
          </w:p>
        </w:tc>
        <w:tc>
          <w:tcPr>
            <w:tcW w:w="3009" w:type="dxa"/>
          </w:tcPr>
          <w:p w14:paraId="15C42F66" w14:textId="77777777" w:rsidR="009F7EB7" w:rsidRDefault="00000000">
            <w:r>
              <w:t>10%</w:t>
            </w:r>
          </w:p>
        </w:tc>
        <w:tc>
          <w:tcPr>
            <w:tcW w:w="3009" w:type="dxa"/>
          </w:tcPr>
          <w:p w14:paraId="225B1CDF" w14:textId="77777777" w:rsidR="009F7EB7" w:rsidRDefault="00000000">
            <w:r>
              <w:t>434</w:t>
            </w:r>
          </w:p>
        </w:tc>
      </w:tr>
      <w:tr w:rsidR="009F7EB7" w14:paraId="78A17AFF" w14:textId="77777777">
        <w:tc>
          <w:tcPr>
            <w:tcW w:w="3009" w:type="dxa"/>
          </w:tcPr>
          <w:p w14:paraId="7538C731" w14:textId="77777777" w:rsidR="009F7EB7" w:rsidRDefault="00000000">
            <w:r>
              <w:t>07:00–08:00</w:t>
            </w:r>
          </w:p>
        </w:tc>
        <w:tc>
          <w:tcPr>
            <w:tcW w:w="3009" w:type="dxa"/>
          </w:tcPr>
          <w:p w14:paraId="1E3E8D5A" w14:textId="77777777" w:rsidR="009F7EB7" w:rsidRDefault="00000000">
            <w:r>
              <w:t>15%</w:t>
            </w:r>
          </w:p>
        </w:tc>
        <w:tc>
          <w:tcPr>
            <w:tcW w:w="3009" w:type="dxa"/>
          </w:tcPr>
          <w:p w14:paraId="60C1748F" w14:textId="77777777" w:rsidR="009F7EB7" w:rsidRDefault="00000000">
            <w:r>
              <w:t>651</w:t>
            </w:r>
          </w:p>
        </w:tc>
      </w:tr>
      <w:tr w:rsidR="009F7EB7" w14:paraId="0C8CC66A" w14:textId="77777777">
        <w:tc>
          <w:tcPr>
            <w:tcW w:w="3009" w:type="dxa"/>
          </w:tcPr>
          <w:p w14:paraId="65F87BCD" w14:textId="77777777" w:rsidR="009F7EB7" w:rsidRDefault="00000000">
            <w:r>
              <w:t>08:00–09:00</w:t>
            </w:r>
          </w:p>
        </w:tc>
        <w:tc>
          <w:tcPr>
            <w:tcW w:w="3009" w:type="dxa"/>
          </w:tcPr>
          <w:p w14:paraId="08B2485C" w14:textId="77777777" w:rsidR="009F7EB7" w:rsidRDefault="00000000">
            <w:r>
              <w:t>15%</w:t>
            </w:r>
          </w:p>
        </w:tc>
        <w:tc>
          <w:tcPr>
            <w:tcW w:w="3009" w:type="dxa"/>
          </w:tcPr>
          <w:p w14:paraId="3A8E9F94" w14:textId="77777777" w:rsidR="009F7EB7" w:rsidRDefault="00000000">
            <w:r>
              <w:t>651</w:t>
            </w:r>
          </w:p>
        </w:tc>
      </w:tr>
      <w:tr w:rsidR="009F7EB7" w14:paraId="3A7AF794" w14:textId="77777777">
        <w:tc>
          <w:tcPr>
            <w:tcW w:w="3009" w:type="dxa"/>
          </w:tcPr>
          <w:p w14:paraId="0FA4753A" w14:textId="77777777" w:rsidR="009F7EB7" w:rsidRDefault="00000000">
            <w:r>
              <w:t>09:00–12:00</w:t>
            </w:r>
          </w:p>
        </w:tc>
        <w:tc>
          <w:tcPr>
            <w:tcW w:w="3009" w:type="dxa"/>
          </w:tcPr>
          <w:p w14:paraId="3331E5B2" w14:textId="77777777" w:rsidR="009F7EB7" w:rsidRDefault="00000000">
            <w:r>
              <w:t>25% (total)</w:t>
            </w:r>
          </w:p>
        </w:tc>
        <w:tc>
          <w:tcPr>
            <w:tcW w:w="3009" w:type="dxa"/>
          </w:tcPr>
          <w:p w14:paraId="1C45BD46" w14:textId="77777777" w:rsidR="009F7EB7" w:rsidRDefault="00000000">
            <w:r>
              <w:t>362 per hour</w:t>
            </w:r>
          </w:p>
        </w:tc>
      </w:tr>
      <w:tr w:rsidR="009F7EB7" w14:paraId="7E19B339" w14:textId="77777777">
        <w:tc>
          <w:tcPr>
            <w:tcW w:w="3009" w:type="dxa"/>
          </w:tcPr>
          <w:p w14:paraId="1A78B7BE" w14:textId="77777777" w:rsidR="009F7EB7" w:rsidRDefault="00000000">
            <w:r>
              <w:t>12:00–16:00</w:t>
            </w:r>
          </w:p>
        </w:tc>
        <w:tc>
          <w:tcPr>
            <w:tcW w:w="3009" w:type="dxa"/>
          </w:tcPr>
          <w:p w14:paraId="242DB8BC" w14:textId="77777777" w:rsidR="009F7EB7" w:rsidRDefault="00000000">
            <w:r>
              <w:t>20% (total)</w:t>
            </w:r>
          </w:p>
        </w:tc>
        <w:tc>
          <w:tcPr>
            <w:tcW w:w="3009" w:type="dxa"/>
          </w:tcPr>
          <w:p w14:paraId="0914CD6E" w14:textId="77777777" w:rsidR="009F7EB7" w:rsidRDefault="00000000">
            <w:r>
              <w:t>217 per hour</w:t>
            </w:r>
          </w:p>
        </w:tc>
      </w:tr>
      <w:tr w:rsidR="009F7EB7" w14:paraId="4311DB0D" w14:textId="77777777">
        <w:tc>
          <w:tcPr>
            <w:tcW w:w="3009" w:type="dxa"/>
          </w:tcPr>
          <w:p w14:paraId="3AFD8FBD" w14:textId="77777777" w:rsidR="009F7EB7" w:rsidRDefault="00000000">
            <w:r>
              <w:t>16:00–18:00</w:t>
            </w:r>
          </w:p>
        </w:tc>
        <w:tc>
          <w:tcPr>
            <w:tcW w:w="3009" w:type="dxa"/>
          </w:tcPr>
          <w:p w14:paraId="2C800D38" w14:textId="77777777" w:rsidR="009F7EB7" w:rsidRDefault="00000000">
            <w:r>
              <w:t>15% (total)</w:t>
            </w:r>
          </w:p>
        </w:tc>
        <w:tc>
          <w:tcPr>
            <w:tcW w:w="3009" w:type="dxa"/>
          </w:tcPr>
          <w:p w14:paraId="4787E2BA" w14:textId="77777777" w:rsidR="009F7EB7" w:rsidRDefault="00000000">
            <w:r>
              <w:t>325 per hour</w:t>
            </w:r>
          </w:p>
        </w:tc>
      </w:tr>
      <w:tr w:rsidR="009F7EB7" w14:paraId="2BA6F60F" w14:textId="77777777">
        <w:tc>
          <w:tcPr>
            <w:tcW w:w="3009" w:type="dxa"/>
          </w:tcPr>
          <w:p w14:paraId="1F0D67A1" w14:textId="77777777" w:rsidR="009F7EB7" w:rsidRDefault="00000000">
            <w:r>
              <w:t>18:00–20:00</w:t>
            </w:r>
          </w:p>
        </w:tc>
        <w:tc>
          <w:tcPr>
            <w:tcW w:w="3009" w:type="dxa"/>
          </w:tcPr>
          <w:p w14:paraId="604D4029" w14:textId="77777777" w:rsidR="009F7EB7" w:rsidRDefault="00000000">
            <w:r>
              <w:t>10% (total)</w:t>
            </w:r>
          </w:p>
        </w:tc>
        <w:tc>
          <w:tcPr>
            <w:tcW w:w="3009" w:type="dxa"/>
          </w:tcPr>
          <w:p w14:paraId="0EA35956" w14:textId="77777777" w:rsidR="009F7EB7" w:rsidRDefault="00000000">
            <w:r>
              <w:t>217 per hour</w:t>
            </w:r>
          </w:p>
        </w:tc>
      </w:tr>
    </w:tbl>
    <w:p w14:paraId="3F3A71AB" w14:textId="77777777" w:rsidR="009F7EB7" w:rsidRDefault="00000000">
      <w:pPr>
        <w:pStyle w:val="Heading2"/>
      </w:pPr>
      <w:r>
        <w:t>6. Weekend Operations</w:t>
      </w:r>
    </w:p>
    <w:p w14:paraId="40278D41" w14:textId="77777777" w:rsidR="009F7EB7" w:rsidRDefault="00000000">
      <w:r>
        <w:t>Weekend patterns are expected to be reduced as follows:</w:t>
      </w:r>
    </w:p>
    <w:p w14:paraId="4862D22D" w14:textId="77777777" w:rsidR="009F7EB7" w:rsidRDefault="00000000">
      <w:r>
        <w:t>• Saturday: approximately 1,663 movements per day, with reduced staff presence (30% of weekday) and reduced goods vehicle movements (50% of weekday)</w:t>
      </w:r>
    </w:p>
    <w:p w14:paraId="1225E0D7" w14:textId="77777777" w:rsidR="009F7EB7" w:rsidRDefault="00000000">
      <w:r>
        <w:t>• Sunday: approximately 614 movements per day, reflecting skeleton staff (10% of weekday) and minimal goods vehicle movements (20% of weekday)</w:t>
      </w:r>
    </w:p>
    <w:p w14:paraId="522F5F70" w14:textId="77777777" w:rsidR="009F7EB7" w:rsidRDefault="00000000">
      <w:pPr>
        <w:pStyle w:val="Heading2"/>
      </w:pPr>
      <w:r>
        <w:t>7. Conclusions</w:t>
      </w:r>
    </w:p>
    <w:p w14:paraId="7E6D2287" w14:textId="77777777" w:rsidR="009F7EB7" w:rsidRDefault="00000000">
      <w:r>
        <w:t xml:space="preserve">The proposed B8 </w:t>
      </w:r>
      <w:proofErr w:type="gramStart"/>
      <w:r>
        <w:t>warehousing</w:t>
      </w:r>
      <w:proofErr w:type="gramEnd"/>
      <w:r>
        <w:t xml:space="preserve"> and distribution development is projected to generate significant levels of staff, LGV, and HGV traffic, consistent with its scale and operational type. The estimated 4,340 daily vehicle movements on weekdays, peaking at around 622 vehicles per hour in the morning and evening, are in line with comparable B8 distribution facilities. Further assessment of junction capacity, parking provision, and internal site circulation will be required at the detailed planning stage. Additional refinement should be considered if a known end-user is confirmed.</w:t>
      </w:r>
    </w:p>
    <w:sectPr w:rsidR="009F7E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59"/>
    <w:rsid w:val="00033159"/>
    <w:rsid w:val="000D1EA8"/>
    <w:rsid w:val="000D2269"/>
    <w:rsid w:val="00202DE9"/>
    <w:rsid w:val="00823DD0"/>
    <w:rsid w:val="009F7EB7"/>
    <w:rsid w:val="00B52870"/>
    <w:rsid w:val="00E233A8"/>
    <w:rsid w:val="00FB4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FEA6DE"/>
  <w15:chartTrackingRefBased/>
  <w15:docId w15:val="{CD067686-928B-FE41-B6B0-35AE4FB8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1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1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1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159"/>
    <w:rPr>
      <w:rFonts w:eastAsiaTheme="majorEastAsia" w:cstheme="majorBidi"/>
      <w:color w:val="272727" w:themeColor="text1" w:themeTint="D8"/>
    </w:rPr>
  </w:style>
  <w:style w:type="paragraph" w:styleId="Title">
    <w:name w:val="Title"/>
    <w:basedOn w:val="Normal"/>
    <w:next w:val="Normal"/>
    <w:link w:val="TitleChar"/>
    <w:uiPriority w:val="10"/>
    <w:qFormat/>
    <w:rsid w:val="00033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159"/>
    <w:pPr>
      <w:spacing w:before="160"/>
      <w:jc w:val="center"/>
    </w:pPr>
    <w:rPr>
      <w:i/>
      <w:iCs/>
      <w:color w:val="404040" w:themeColor="text1" w:themeTint="BF"/>
    </w:rPr>
  </w:style>
  <w:style w:type="character" w:customStyle="1" w:styleId="QuoteChar">
    <w:name w:val="Quote Char"/>
    <w:basedOn w:val="DefaultParagraphFont"/>
    <w:link w:val="Quote"/>
    <w:uiPriority w:val="29"/>
    <w:rsid w:val="00033159"/>
    <w:rPr>
      <w:i/>
      <w:iCs/>
      <w:color w:val="404040" w:themeColor="text1" w:themeTint="BF"/>
    </w:rPr>
  </w:style>
  <w:style w:type="paragraph" w:styleId="ListParagraph">
    <w:name w:val="List Paragraph"/>
    <w:basedOn w:val="Normal"/>
    <w:uiPriority w:val="34"/>
    <w:qFormat/>
    <w:rsid w:val="00033159"/>
    <w:pPr>
      <w:ind w:left="720"/>
      <w:contextualSpacing/>
    </w:pPr>
  </w:style>
  <w:style w:type="character" w:styleId="IntenseEmphasis">
    <w:name w:val="Intense Emphasis"/>
    <w:basedOn w:val="DefaultParagraphFont"/>
    <w:uiPriority w:val="21"/>
    <w:qFormat/>
    <w:rsid w:val="00033159"/>
    <w:rPr>
      <w:i/>
      <w:iCs/>
      <w:color w:val="0F4761" w:themeColor="accent1" w:themeShade="BF"/>
    </w:rPr>
  </w:style>
  <w:style w:type="paragraph" w:styleId="IntenseQuote">
    <w:name w:val="Intense Quote"/>
    <w:basedOn w:val="Normal"/>
    <w:next w:val="Normal"/>
    <w:link w:val="IntenseQuoteChar"/>
    <w:uiPriority w:val="30"/>
    <w:qFormat/>
    <w:rsid w:val="00033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159"/>
    <w:rPr>
      <w:i/>
      <w:iCs/>
      <w:color w:val="0F4761" w:themeColor="accent1" w:themeShade="BF"/>
    </w:rPr>
  </w:style>
  <w:style w:type="character" w:styleId="IntenseReference">
    <w:name w:val="Intense Reference"/>
    <w:basedOn w:val="DefaultParagraphFont"/>
    <w:uiPriority w:val="32"/>
    <w:qFormat/>
    <w:rsid w:val="000331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Turton</dc:creator>
  <cp:keywords/>
  <dc:description/>
  <cp:lastModifiedBy>Nick Turton</cp:lastModifiedBy>
  <cp:revision>3</cp:revision>
  <dcterms:created xsi:type="dcterms:W3CDTF">2025-07-12T14:30:00Z</dcterms:created>
  <dcterms:modified xsi:type="dcterms:W3CDTF">2025-07-12T14:30:00Z</dcterms:modified>
</cp:coreProperties>
</file>