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EB63F" w14:textId="77777777" w:rsidR="005C156C" w:rsidRDefault="00000000">
      <w:pPr>
        <w:pStyle w:val="Heading1"/>
      </w:pPr>
      <w:r>
        <w:t>Croxton to Toft Enhanced LRG – Meeting 1 Summary</w:t>
      </w:r>
    </w:p>
    <w:p w14:paraId="26A27AB6" w14:textId="77777777" w:rsidR="005C156C" w:rsidRDefault="00000000">
      <w:r>
        <w:t>Date of Meeting: 2 June 2025</w:t>
      </w:r>
    </w:p>
    <w:p w14:paraId="424A5A34" w14:textId="77777777" w:rsidR="005C156C" w:rsidRDefault="00000000">
      <w:r>
        <w:t>Type: In-person</w:t>
      </w:r>
    </w:p>
    <w:p w14:paraId="39735EAC" w14:textId="77777777" w:rsidR="005C156C" w:rsidRDefault="00000000">
      <w:pPr>
        <w:pStyle w:val="Heading2"/>
      </w:pPr>
      <w:r>
        <w:t>1. Introductions and Housekeeping</w:t>
      </w:r>
    </w:p>
    <w:p w14:paraId="1A03C7E6" w14:textId="77777777" w:rsidR="005C156C" w:rsidRDefault="00000000">
      <w:r>
        <w:t>The meeting was opened by the Senior Stakeholder Manager, who welcomed attendees and explained the agenda.</w:t>
      </w:r>
      <w:r>
        <w:br/>
        <w:t>Although only certain parishes are statutory consultees, EWR Co is treating ward councillors as such to enhance communication.</w:t>
      </w:r>
      <w:r>
        <w:br/>
        <w:t>Attendees introduced themselves by parish, ward, or role.</w:t>
      </w:r>
    </w:p>
    <w:p w14:paraId="1E188D1C" w14:textId="77777777" w:rsidR="005C156C" w:rsidRDefault="00000000">
      <w:pPr>
        <w:pStyle w:val="Heading2"/>
      </w:pPr>
      <w:r>
        <w:t>2. Review of Previous Actions</w:t>
      </w:r>
    </w:p>
    <w:p w14:paraId="2EEA3ABF" w14:textId="77777777" w:rsidR="005C156C" w:rsidRDefault="00000000">
      <w:r>
        <w:t>One action from the prior meeting was reviewed and confirmed completed.</w:t>
      </w:r>
    </w:p>
    <w:p w14:paraId="6ADC877A" w14:textId="77777777" w:rsidR="005C156C" w:rsidRDefault="00000000">
      <w:pPr>
        <w:pStyle w:val="Heading2"/>
      </w:pPr>
      <w:r>
        <w:t>3. Project Updates</w:t>
      </w:r>
    </w:p>
    <w:p w14:paraId="29464836" w14:textId="77777777" w:rsidR="005C156C" w:rsidRDefault="00000000">
      <w:pPr>
        <w:pStyle w:val="Heading3"/>
      </w:pPr>
      <w:r>
        <w:t>Universal Theme Park</w:t>
      </w:r>
    </w:p>
    <w:p w14:paraId="084D00E2" w14:textId="77777777" w:rsidR="005C156C" w:rsidRDefault="00000000">
      <w:r>
        <w:t>EWR Co is engaging with Universal to understand potential impacts on Bedford and EWR services.</w:t>
      </w:r>
      <w:r>
        <w:br/>
        <w:t>Exact location and implications for EWR remain under discussion.</w:t>
      </w:r>
    </w:p>
    <w:p w14:paraId="0D279999" w14:textId="77777777" w:rsidR="005C156C" w:rsidRDefault="00000000">
      <w:pPr>
        <w:pStyle w:val="Heading3"/>
      </w:pPr>
      <w:r>
        <w:t>Chiltern Railways</w:t>
      </w:r>
    </w:p>
    <w:p w14:paraId="433C3E9A" w14:textId="77777777" w:rsidR="005C156C" w:rsidRDefault="00000000">
      <w:r>
        <w:t>Chiltern Railways has been announced as the initial EWR operator, with services expected to begin later in 2025.</w:t>
      </w:r>
    </w:p>
    <w:p w14:paraId="793A6060" w14:textId="77777777" w:rsidR="005C156C" w:rsidRDefault="00000000">
      <w:pPr>
        <w:pStyle w:val="Heading3"/>
      </w:pPr>
      <w:r>
        <w:t>Ground Investigations (GI)</w:t>
      </w:r>
    </w:p>
    <w:p w14:paraId="4F903930" w14:textId="77777777" w:rsidR="005C156C" w:rsidRDefault="00000000">
      <w:r>
        <w:t>Phase 1 GI works began in February 2025, initially expected to last 4–5 months.</w:t>
      </w:r>
      <w:r>
        <w:br/>
        <w:t>Delays due to land access issues may extend this timeline.</w:t>
      </w:r>
      <w:r>
        <w:br/>
        <w:t>Signs and communication about GI works will continue, though access constraints make precise scheduling difficult.</w:t>
      </w:r>
      <w:r>
        <w:br/>
        <w:t>Section 172 powers exist for land access but are avoided where possible.</w:t>
      </w:r>
    </w:p>
    <w:p w14:paraId="6AEEB915" w14:textId="77777777" w:rsidR="005C156C" w:rsidRDefault="00000000">
      <w:pPr>
        <w:pStyle w:val="Heading3"/>
      </w:pPr>
      <w:r>
        <w:t>Surveys</w:t>
      </w:r>
    </w:p>
    <w:p w14:paraId="633F41E1" w14:textId="77777777" w:rsidR="005C156C" w:rsidRDefault="00000000">
      <w:r>
        <w:t>Surveys, including environmental and archaeological work, are part of the DCO process.</w:t>
      </w:r>
      <w:r>
        <w:br/>
        <w:t>Air quality, noise, and vibration monitoring locations are to be confirmed.</w:t>
      </w:r>
      <w:r>
        <w:br/>
        <w:t>Notably, a Bronze Age barrow was identified near Haslingfield.</w:t>
      </w:r>
    </w:p>
    <w:p w14:paraId="0CCF3A45" w14:textId="77777777" w:rsidR="005C156C" w:rsidRDefault="00000000">
      <w:pPr>
        <w:pStyle w:val="Heading2"/>
      </w:pPr>
      <w:r>
        <w:t>4. Consultation and Planning Timeline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156C" w14:paraId="4919A41F" w14:textId="77777777">
        <w:tc>
          <w:tcPr>
            <w:tcW w:w="4320" w:type="dxa"/>
          </w:tcPr>
          <w:p w14:paraId="04FB2144" w14:textId="77777777" w:rsidR="005C156C" w:rsidRDefault="00000000">
            <w:r>
              <w:t>Stage</w:t>
            </w:r>
          </w:p>
        </w:tc>
        <w:tc>
          <w:tcPr>
            <w:tcW w:w="4320" w:type="dxa"/>
          </w:tcPr>
          <w:p w14:paraId="3137EA06" w14:textId="77777777" w:rsidR="005C156C" w:rsidRDefault="00000000">
            <w:r>
              <w:t>Estimated Date</w:t>
            </w:r>
          </w:p>
        </w:tc>
      </w:tr>
      <w:tr w:rsidR="005C156C" w14:paraId="656FECF1" w14:textId="77777777">
        <w:tc>
          <w:tcPr>
            <w:tcW w:w="4320" w:type="dxa"/>
          </w:tcPr>
          <w:p w14:paraId="77BA1F16" w14:textId="77777777" w:rsidR="005C156C" w:rsidRDefault="00000000">
            <w:r>
              <w:t>Non-Statutory Consultation (NSC)</w:t>
            </w:r>
          </w:p>
        </w:tc>
        <w:tc>
          <w:tcPr>
            <w:tcW w:w="4320" w:type="dxa"/>
          </w:tcPr>
          <w:p w14:paraId="3A47896D" w14:textId="77777777" w:rsidR="005C156C" w:rsidRDefault="00000000">
            <w:r>
              <w:t>Completed in May 2024</w:t>
            </w:r>
          </w:p>
        </w:tc>
      </w:tr>
      <w:tr w:rsidR="005C156C" w14:paraId="36D52D83" w14:textId="77777777">
        <w:tc>
          <w:tcPr>
            <w:tcW w:w="4320" w:type="dxa"/>
          </w:tcPr>
          <w:p w14:paraId="11E1CB4C" w14:textId="77777777" w:rsidR="005C156C" w:rsidRDefault="00000000">
            <w:r>
              <w:lastRenderedPageBreak/>
              <w:t>NSC Summary Report Publication</w:t>
            </w:r>
          </w:p>
        </w:tc>
        <w:tc>
          <w:tcPr>
            <w:tcW w:w="4320" w:type="dxa"/>
          </w:tcPr>
          <w:p w14:paraId="1E40CBBF" w14:textId="77777777" w:rsidR="005C156C" w:rsidRDefault="00000000">
            <w:r>
              <w:t>16 May 2025</w:t>
            </w:r>
          </w:p>
        </w:tc>
      </w:tr>
      <w:tr w:rsidR="005C156C" w14:paraId="3471D7BD" w14:textId="77777777">
        <w:tc>
          <w:tcPr>
            <w:tcW w:w="4320" w:type="dxa"/>
          </w:tcPr>
          <w:p w14:paraId="2B3FCD3D" w14:textId="77777777" w:rsidR="005C156C" w:rsidRDefault="00000000">
            <w:r>
              <w:t>Statutory Consultation Begins</w:t>
            </w:r>
          </w:p>
        </w:tc>
        <w:tc>
          <w:tcPr>
            <w:tcW w:w="4320" w:type="dxa"/>
          </w:tcPr>
          <w:p w14:paraId="49B15E0C" w14:textId="77777777" w:rsidR="005C156C" w:rsidRDefault="00000000">
            <w:r>
              <w:t>Mid-2026</w:t>
            </w:r>
          </w:p>
        </w:tc>
      </w:tr>
      <w:tr w:rsidR="005C156C" w14:paraId="71DF4FD2" w14:textId="77777777">
        <w:tc>
          <w:tcPr>
            <w:tcW w:w="4320" w:type="dxa"/>
          </w:tcPr>
          <w:p w14:paraId="0E6E3E49" w14:textId="77777777" w:rsidR="005C156C" w:rsidRDefault="00000000">
            <w:r>
              <w:t>Statutory Consultation Ends</w:t>
            </w:r>
          </w:p>
        </w:tc>
        <w:tc>
          <w:tcPr>
            <w:tcW w:w="4320" w:type="dxa"/>
          </w:tcPr>
          <w:p w14:paraId="36583B14" w14:textId="77777777" w:rsidR="005C156C" w:rsidRDefault="00000000">
            <w:r>
              <w:t>Late 2026</w:t>
            </w:r>
          </w:p>
        </w:tc>
      </w:tr>
      <w:tr w:rsidR="005C156C" w14:paraId="05D6E0E3" w14:textId="77777777">
        <w:tc>
          <w:tcPr>
            <w:tcW w:w="4320" w:type="dxa"/>
          </w:tcPr>
          <w:p w14:paraId="1F06182A" w14:textId="77777777" w:rsidR="005C156C" w:rsidRDefault="00000000">
            <w:r>
              <w:t>DCO Application Submission</w:t>
            </w:r>
          </w:p>
        </w:tc>
        <w:tc>
          <w:tcPr>
            <w:tcW w:w="4320" w:type="dxa"/>
          </w:tcPr>
          <w:p w14:paraId="47D9B3E3" w14:textId="77777777" w:rsidR="005C156C" w:rsidRDefault="00000000">
            <w:r>
              <w:t>Mid-2027</w:t>
            </w:r>
          </w:p>
        </w:tc>
      </w:tr>
      <w:tr w:rsidR="005C156C" w14:paraId="3B382A29" w14:textId="77777777">
        <w:tc>
          <w:tcPr>
            <w:tcW w:w="4320" w:type="dxa"/>
          </w:tcPr>
          <w:p w14:paraId="1F7E1AA4" w14:textId="77777777" w:rsidR="005C156C" w:rsidRDefault="00000000">
            <w:r>
              <w:t>Potential Start of Construction</w:t>
            </w:r>
          </w:p>
        </w:tc>
        <w:tc>
          <w:tcPr>
            <w:tcW w:w="4320" w:type="dxa"/>
          </w:tcPr>
          <w:p w14:paraId="43D0C591" w14:textId="77777777" w:rsidR="005C156C" w:rsidRDefault="00000000">
            <w:r>
              <w:t>2029–2030</w:t>
            </w:r>
          </w:p>
        </w:tc>
      </w:tr>
    </w:tbl>
    <w:p w14:paraId="74B6429B" w14:textId="77777777" w:rsidR="005C156C" w:rsidRDefault="00000000">
      <w:r>
        <w:t>The “You Said, We Did” (YSWD) report will accompany the Statutory Consultation in 2026.</w:t>
      </w:r>
      <w:r>
        <w:br/>
        <w:t>Attendees requested that future consultations avoid holiday periods (especially Christmas).</w:t>
      </w:r>
    </w:p>
    <w:p w14:paraId="0F261ABD" w14:textId="77777777" w:rsidR="005C156C" w:rsidRDefault="00000000">
      <w:pPr>
        <w:pStyle w:val="Heading2"/>
      </w:pPr>
      <w:r>
        <w:t>5. Emerging Themes and Accessibility</w:t>
      </w:r>
    </w:p>
    <w:p w14:paraId="43DC83D3" w14:textId="77777777" w:rsidR="005C156C" w:rsidRDefault="00000000">
      <w:r>
        <w:t>Feedback highlighted growth opportunities, need for community benefit, and accessibility to jobs and stations.</w:t>
      </w:r>
      <w:r>
        <w:br/>
        <w:t>Concerns were raised about:</w:t>
      </w:r>
      <w:r>
        <w:br/>
        <w:t>- Poor access to the proposed station at Caldecote</w:t>
      </w:r>
      <w:r>
        <w:br/>
        <w:t>- Lack of bus services</w:t>
      </w:r>
      <w:r>
        <w:br/>
        <w:t>- Need for cycle routes and footpaths</w:t>
      </w:r>
      <w:r>
        <w:br/>
        <w:t>EWR Co is categorising active travel options from A to D based on usefulness and integration.</w:t>
      </w:r>
    </w:p>
    <w:p w14:paraId="7DBA1435" w14:textId="77777777" w:rsidR="005C156C" w:rsidRDefault="00000000">
      <w:pPr>
        <w:pStyle w:val="Heading2"/>
      </w:pPr>
      <w:r>
        <w:t>6. Local Representative Group (LRG) Structure</w:t>
      </w:r>
    </w:p>
    <w:p w14:paraId="66A63E4C" w14:textId="77777777" w:rsidR="005C156C" w:rsidRDefault="00000000">
      <w:r>
        <w:t>All parishes/wards within the red line boundary are in “Enhanced LRGs”; others are in “Community LRGs”.</w:t>
      </w:r>
      <w:r>
        <w:br/>
        <w:t>Attendees raised concerns about seemingly arbitrary group boundaries (e.g., Toft vs. Comberton).</w:t>
      </w:r>
      <w:r>
        <w:br/>
        <w:t>Proposals were made to merge adjacent groups for more coherent engagement.</w:t>
      </w:r>
    </w:p>
    <w:p w14:paraId="12B0CBFE" w14:textId="77777777" w:rsidR="005C156C" w:rsidRDefault="00000000">
      <w:pPr>
        <w:pStyle w:val="Heading2"/>
      </w:pPr>
      <w:r>
        <w:t>7. Cambourne Station and Route Design</w:t>
      </w:r>
    </w:p>
    <w:p w14:paraId="238E95B5" w14:textId="77777777" w:rsidR="005C156C" w:rsidRDefault="00000000">
      <w:pPr>
        <w:pStyle w:val="Heading3"/>
      </w:pPr>
      <w:r>
        <w:t>Chapel Hill Tunnel</w:t>
      </w:r>
    </w:p>
    <w:p w14:paraId="301210B4" w14:textId="77777777" w:rsidR="005C156C" w:rsidRDefault="00000000">
      <w:r>
        <w:t>A mined tunnel is now the preferred option over cut-and-cover, pending further assessment.</w:t>
      </w:r>
      <w:r>
        <w:br/>
        <w:t>Cambourne Station may move approx. 0.5km west.</w:t>
      </w:r>
      <w:r>
        <w:br/>
        <w:t>Environmental concerns are influencing limits on expanded parking.</w:t>
      </w:r>
    </w:p>
    <w:p w14:paraId="40179BF6" w14:textId="77777777" w:rsidR="005C156C" w:rsidRDefault="00000000">
      <w:pPr>
        <w:pStyle w:val="Heading3"/>
      </w:pPr>
      <w:r>
        <w:t>Land Access and Impact</w:t>
      </w:r>
    </w:p>
    <w:p w14:paraId="64C70CA6" w14:textId="77777777" w:rsidR="005C156C" w:rsidRDefault="00000000">
      <w:r>
        <w:t>EWR Co continues to inform landowners about access requirements.</w:t>
      </w:r>
      <w:r>
        <w:br/>
        <w:t>Concerns were raised about house sales falling through due to uncertainty.</w:t>
      </w:r>
      <w:r>
        <w:br/>
        <w:t>The red line boundary is expected to shrink as designs are refined.</w:t>
      </w:r>
    </w:p>
    <w:p w14:paraId="433D25CE" w14:textId="77777777" w:rsidR="005C156C" w:rsidRDefault="00000000">
      <w:pPr>
        <w:pStyle w:val="Heading2"/>
      </w:pPr>
      <w:r>
        <w:t>8. Community Fund and Further Engagement</w:t>
      </w:r>
    </w:p>
    <w:p w14:paraId="1BE02016" w14:textId="77777777" w:rsidR="005C156C" w:rsidRDefault="00000000">
      <w:r>
        <w:t>A community fund is under development, with a focus on social value. It may launch later in 2025 and be managed separately.</w:t>
      </w:r>
      <w:r>
        <w:br/>
      </w:r>
      <w:r>
        <w:lastRenderedPageBreak/>
        <w:t>Active travel infrastructure is part of project design and separate from this fund.</w:t>
      </w:r>
      <w:r>
        <w:br/>
        <w:t>Further engagement, including topic-specific discussions (e.g., environment), is expected before the statutory consultation.</w:t>
      </w:r>
    </w:p>
    <w:p w14:paraId="003BB414" w14:textId="77777777" w:rsidR="005C156C" w:rsidRDefault="00000000">
      <w:pPr>
        <w:pStyle w:val="Heading2"/>
      </w:pPr>
      <w:r>
        <w:t>9. Next LRG Meeting</w:t>
      </w:r>
    </w:p>
    <w:p w14:paraId="0D780CB4" w14:textId="77777777" w:rsidR="005C156C" w:rsidRDefault="00000000">
      <w:r>
        <w:t>The next round of LRG meetings is scheduled for late September 2025.</w:t>
      </w:r>
    </w:p>
    <w:p w14:paraId="518C1A07" w14:textId="77777777" w:rsidR="005C156C" w:rsidRDefault="00000000">
      <w:pPr>
        <w:pStyle w:val="Heading2"/>
      </w:pPr>
      <w:r>
        <w:t>10. Summary of Actions</w:t>
      </w:r>
    </w:p>
    <w:p w14:paraId="06CF4F13" w14:textId="77777777" w:rsidR="005C156C" w:rsidRDefault="00000000">
      <w:pPr>
        <w:pStyle w:val="ListBullet"/>
      </w:pPr>
      <w:r>
        <w:t>- EWR Co to confirm locations of air quality, noise, and vibration monitoring.</w:t>
      </w:r>
    </w:p>
    <w:p w14:paraId="5A19515C" w14:textId="77777777" w:rsidR="005C156C" w:rsidRDefault="00000000">
      <w:pPr>
        <w:pStyle w:val="ListBullet"/>
      </w:pPr>
      <w:r>
        <w:t>- Local reps to confirm whether to merge Croxton to Toft LRG with Comberton to Haslingfield LRG.</w:t>
      </w:r>
    </w:p>
    <w:p w14:paraId="18531EE0" w14:textId="77777777" w:rsidR="005C156C" w:rsidRDefault="00000000">
      <w:pPr>
        <w:pStyle w:val="ListBullet"/>
      </w:pPr>
      <w:r>
        <w:t>- EWR Co to summarise potential design changes for Croxton to Toft following discussions with local authorities.</w:t>
      </w:r>
    </w:p>
    <w:p w14:paraId="47D432CB" w14:textId="77777777" w:rsidR="005C156C" w:rsidRDefault="00000000">
      <w:pPr>
        <w:pStyle w:val="ListBullet"/>
      </w:pPr>
      <w:r>
        <w:t>- EWR Co to confirm the location of construction compounds, including on Caldecote Road.</w:t>
      </w:r>
    </w:p>
    <w:sectPr w:rsidR="005C15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2425747">
    <w:abstractNumId w:val="8"/>
  </w:num>
  <w:num w:numId="2" w16cid:durableId="893782547">
    <w:abstractNumId w:val="6"/>
  </w:num>
  <w:num w:numId="3" w16cid:durableId="1733842584">
    <w:abstractNumId w:val="5"/>
  </w:num>
  <w:num w:numId="4" w16cid:durableId="1112557331">
    <w:abstractNumId w:val="4"/>
  </w:num>
  <w:num w:numId="5" w16cid:durableId="834077849">
    <w:abstractNumId w:val="7"/>
  </w:num>
  <w:num w:numId="6" w16cid:durableId="1481455705">
    <w:abstractNumId w:val="3"/>
  </w:num>
  <w:num w:numId="7" w16cid:durableId="1882866688">
    <w:abstractNumId w:val="2"/>
  </w:num>
  <w:num w:numId="8" w16cid:durableId="1810050806">
    <w:abstractNumId w:val="1"/>
  </w:num>
  <w:num w:numId="9" w16cid:durableId="37539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269"/>
    <w:rsid w:val="0015074B"/>
    <w:rsid w:val="0029639D"/>
    <w:rsid w:val="00326F90"/>
    <w:rsid w:val="005C156C"/>
    <w:rsid w:val="005F04E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139759"/>
  <w14:defaultImageDpi w14:val="300"/>
  <w15:docId w15:val="{620C8C02-C0DE-A347-8AF8-AD6798D4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Turton</cp:lastModifiedBy>
  <cp:revision>2</cp:revision>
  <dcterms:created xsi:type="dcterms:W3CDTF">2025-07-14T16:17:00Z</dcterms:created>
  <dcterms:modified xsi:type="dcterms:W3CDTF">2025-07-14T16:17:00Z</dcterms:modified>
  <cp:category/>
</cp:coreProperties>
</file>